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contextualSpacing/>
        <w:jc w:val="left"/>
        <w:suppressLineNumbers w:val="0"/>
      </w:pPr>
      <w:r/>
      <w:r/>
    </w:p>
    <w:p>
      <w:pPr>
        <w:pStyle w:val="816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правительства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24 октября 2014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550-пп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формировании и ведении реестра поставщиков социальных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 и регистра получателей социальных услуг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16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16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1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1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Внести в 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формирования и ведения реестра поставщиков социальных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Еврейской автономной области, утвержденный постановлением правительства Еврейской автономной области от 24.10.2014 № 550-пп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формировании и ведении реестра поставщиков социальных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 и регистра получателей социальных услуг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Еврейской автономной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следующие изменения и дополнения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12 «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исключения поставщика социальных услуг из реестра являются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Основаниями для исключения поставщика социальных услуг из реестра являются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708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1.поступление в Департамент заявления поставщика социальных услуг об исключении его из реестра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.поступление в Департамент сведений о прекращении деятельности поставщика социальных услуг или его ликвидации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3.поступление в Департамент сведений об административном приостановлении деятельности поставщика социальных услуг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ступление в Департамент в течение шести календарных месяцев двух и более обоснованных жалоб (обращений) на некачественное предоставление социальных услуг от получателей социальных услуг и неустранение поставщиком социальных услуг замечаний и нарушений по 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езультатам рассмотрения жалоб (обращений) в сроки, установленные Департаментом (исключение составляют обоснованные жалобы (обращения), замечания, и нарушения по которым устранены поставщиком социальных услуг в установленный срок);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5.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неисполнение поставщиком социальных услуг требований, установленных действующим законодательством о социальном обслуживании граждан, выявленных в результате проверок, проведенных в рамках регионального государственного контроля (надзора) в сфере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ого обслуживания, и неустранение нарушений, выявленных в результате проверок, проведенных в рамках осуществления регионального государственного контроля (надзора) в сфере социального обслуживания в срок, установленный Департаментом;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6.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приостановление, аннулирование, прекращение действия лицензии, выданной поставщику социальных услуг (при осуществлении деятельности, подлежащей лицензированию в соответствии с законодательством Российской Федерации);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7.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выявление недостоверности информации, послужившей основанием для принятия решения о включении в Реестр сведений о юридическом лице (индивидуальном предпринимателе) (при невозможности ее выявления на момент принятия решения о включении в Реестр сведений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юридическом лице (индивидуальном предпринимателе)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pStyle w:val="810"/>
        <w:contextualSpacing/>
        <w:ind w:firstLine="709"/>
        <w:jc w:val="both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- в пункте 2 слово «Комитет» заменить словом «Департамент»;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10"/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абзаце двадцать пятом пункта 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слово «Комитет» заменить словом «Департамент»;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абзаце двадцать шестом </w:t>
      </w:r>
      <w:r>
        <w:rPr>
          <w:rFonts w:ascii="Times New Roman" w:hAnsi="Times New Roman"/>
          <w:sz w:val="28"/>
          <w:szCs w:val="28"/>
        </w:rPr>
        <w:t xml:space="preserve">слово «Комитет» заменить словом «Департамент»;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абзаце двадцать седьмом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слово «Комитет» заменить словом «Департамент»;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абзаце двадцать восьмом </w:t>
      </w:r>
      <w:r>
        <w:rPr>
          <w:rFonts w:ascii="Times New Roman" w:hAnsi="Times New Roman"/>
          <w:sz w:val="28"/>
          <w:szCs w:val="28"/>
        </w:rPr>
        <w:t xml:space="preserve">слово «Комитет» заменить словом «Департамент»;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пункте 6 слово «Комитетом» заменить словом «Департаментом»;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-в абзаце 2 подпункта 4 пункта 6 </w:t>
      </w:r>
      <w:r>
        <w:rPr>
          <w:rFonts w:ascii="Times New Roman" w:hAnsi="Times New Roman"/>
          <w:sz w:val="28"/>
          <w:szCs w:val="28"/>
        </w:rPr>
        <w:t xml:space="preserve">слово «Комитет» заменить словом «Департамент»;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в абзаце 3 подпункта 4 пункта 6 </w:t>
      </w:r>
      <w:r>
        <w:rPr>
          <w:rFonts w:ascii="Times New Roman" w:hAnsi="Times New Roman"/>
          <w:sz w:val="28"/>
          <w:szCs w:val="28"/>
        </w:rPr>
        <w:t xml:space="preserve">слово «Комитет» заменить словом «Департамент»;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пункте 9 слово «Комитетом» заменить словом «Департаментом»;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пункте 11 слово «Комитет» заменить словом «Департамент»</w:t>
      </w:r>
      <w:r>
        <w:rPr>
          <w:rFonts w:ascii="Times New Roman" w:hAnsi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jc w:val="both"/>
        <w:spacing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7" w:customStyle="1">
    <w:name w:val="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8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2023-03-16T01:04:57Z</dcterms:modified>
</cp:coreProperties>
</file>